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media/image3.wmf" ContentType="image/x-wmf"/>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tbl>
      <w:tblPr>
        <w:jc w:val="left"/>
        <w:tblInd w:w="0" w:type="dxa"/>
        <w:tblBorders>
          <w:top w:val="nil"/>
          <w:left w:val="nil"/>
          <w:bottom w:val="nil"/>
          <w:insideH w:val="nil"/>
          <w:right w:val="nil"/>
          <w:insideV w:val="nil"/>
        </w:tblBorders>
        <w:tblCellMar>
          <w:top w:w="0" w:type="dxa"/>
          <w:left w:w="108" w:type="dxa"/>
          <w:bottom w:w="0" w:type="dxa"/>
          <w:right w:w="108" w:type="dxa"/>
        </w:tblCellMar>
      </w:tblPr>
      <w:tblGrid>
        <w:gridCol w:w="10314"/>
      </w:tblGrid>
      <w:tr>
        <w:trPr>
          <w:trHeight w:val="108" w:hRule="atLeast"/>
          <w:cantSplit w:val="true"/>
        </w:trPr>
        <w:tc>
          <w:tcPr>
            <w:tcW w:w="10314" w:type="dxa"/>
            <w:tcBorders>
              <w:top w:val="nil"/>
              <w:left w:val="nil"/>
              <w:bottom w:val="nil"/>
              <w:insideH w:val="nil"/>
              <w:right w:val="nil"/>
              <w:insideV w:val="nil"/>
            </w:tcBorders>
            <w:shd w:fill="auto" w:val="clear"/>
          </w:tcPr>
          <w:p>
            <w:pPr>
              <w:pStyle w:val="Style16"/>
              <w:jc w:val="center"/>
              <w:rPr>
                <w:rFonts w:cs="Times New Roman" w:ascii="Times New Roman" w:hAnsi="Times New Roman"/>
                <w:b/>
                <w:sz w:val="24"/>
                <w:szCs w:val="24"/>
                <w:lang w:val="en-US" w:eastAsia="en-US"/>
              </w:rPr>
            </w:pPr>
            <w:r>
              <w:rPr>
                <w:rFonts w:cs="Times New Roman" w:ascii="Times New Roman" w:hAnsi="Times New Roman"/>
                <w:b/>
                <w:sz w:val="24"/>
                <w:szCs w:val="24"/>
                <w:lang w:val="en-US" w:eastAsia="en-US"/>
              </w:rPr>
              <w:drawing>
                <wp:inline distT="0" distB="0" distL="0" distR="0">
                  <wp:extent cx="675005" cy="810895"/>
                  <wp:effectExtent l="0" t="0" r="0" b="0"/>
                  <wp:docPr id="0" name="Pictur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
                          <pic:cNvPicPr>
                            <a:picLocks noChangeAspect="1" noChangeArrowheads="1"/>
                          </pic:cNvPicPr>
                        </pic:nvPicPr>
                        <pic:blipFill>
                          <a:blip r:embed="rId2"/>
                          <a:stretch>
                            <a:fillRect/>
                          </a:stretch>
                        </pic:blipFill>
                        <pic:spPr bwMode="auto">
                          <a:xfrm>
                            <a:off x="0" y="0"/>
                            <a:ext cx="675005" cy="810895"/>
                          </a:xfrm>
                          <a:prstGeom prst="rect">
                            <a:avLst/>
                          </a:prstGeom>
                          <a:noFill/>
                          <a:ln w="9525">
                            <a:noFill/>
                            <a:miter lim="800000"/>
                            <a:headEnd/>
                            <a:tailEnd/>
                          </a:ln>
                        </pic:spPr>
                      </pic:pic>
                    </a:graphicData>
                  </a:graphic>
                </wp:inline>
              </w:drawing>
            </w:r>
          </w:p>
          <w:p>
            <w:pPr>
              <w:pStyle w:val="Style16"/>
              <w:jc w:val="center"/>
              <w:rPr>
                <w:rFonts w:cs="Times New Roman" w:ascii="Times New Roman" w:hAnsi="Times New Roman"/>
                <w:b/>
                <w:sz w:val="24"/>
                <w:szCs w:val="24"/>
              </w:rPr>
            </w:pPr>
            <w:r>
              <w:rPr>
                <w:rFonts w:cs="Times New Roman" w:ascii="Times New Roman" w:hAnsi="Times New Roman"/>
                <w:b/>
                <w:sz w:val="24"/>
                <w:szCs w:val="24"/>
              </w:rPr>
              <w:t>Российская Федерация</w:t>
            </w:r>
          </w:p>
          <w:p>
            <w:pPr>
              <w:pStyle w:val="Style16"/>
              <w:jc w:val="center"/>
              <w:rPr>
                <w:rFonts w:cs="Times New Roman" w:ascii="Times New Roman" w:hAnsi="Times New Roman"/>
                <w:b/>
                <w:sz w:val="24"/>
                <w:szCs w:val="24"/>
              </w:rPr>
            </w:pPr>
            <w:r>
              <w:rPr>
                <w:rFonts w:cs="Times New Roman" w:ascii="Times New Roman" w:hAnsi="Times New Roman"/>
                <w:b/>
                <w:sz w:val="24"/>
                <w:szCs w:val="24"/>
              </w:rPr>
              <w:t>Республика Карелия</w:t>
            </w:r>
          </w:p>
          <w:p>
            <w:pPr>
              <w:pStyle w:val="Style16"/>
              <w:jc w:val="center"/>
              <w:rPr>
                <w:rFonts w:cs="Times New Roman" w:ascii="Times New Roman" w:hAnsi="Times New Roman"/>
                <w:b/>
                <w:sz w:val="24"/>
                <w:szCs w:val="24"/>
              </w:rPr>
            </w:pPr>
            <w:r>
              <w:rPr>
                <w:rFonts w:cs="Times New Roman" w:ascii="Times New Roman" w:hAnsi="Times New Roman"/>
                <w:b/>
                <w:sz w:val="24"/>
                <w:szCs w:val="24"/>
              </w:rPr>
              <w:t>Администрация  Кемского  муниципального района</w:t>
            </w:r>
          </w:p>
          <w:p>
            <w:pPr>
              <w:pStyle w:val="Style16"/>
              <w:jc w:val="both"/>
              <w:rPr>
                <w:rFonts w:cs="Times New Roman" w:ascii="Times New Roman" w:hAnsi="Times New Roman"/>
                <w:b/>
                <w:sz w:val="24"/>
                <w:szCs w:val="24"/>
              </w:rPr>
            </w:pPr>
            <w:r>
              <w:rPr>
                <w:rFonts w:cs="Times New Roman" w:ascii="Times New Roman" w:hAnsi="Times New Roman"/>
                <w:b/>
                <w:sz w:val="24"/>
                <w:szCs w:val="24"/>
              </w:rPr>
            </w:r>
          </w:p>
          <w:p>
            <w:pPr>
              <w:pStyle w:val="Style16"/>
              <w:jc w:val="center"/>
              <w:rPr>
                <w:rFonts w:cs="Times New Roman" w:ascii="Times New Roman" w:hAnsi="Times New Roman"/>
                <w:b/>
                <w:sz w:val="24"/>
                <w:szCs w:val="24"/>
              </w:rPr>
            </w:pPr>
            <w:r>
              <w:rPr>
                <w:rFonts w:cs="Times New Roman" w:ascii="Times New Roman" w:hAnsi="Times New Roman"/>
                <w:b/>
                <w:sz w:val="24"/>
                <w:szCs w:val="24"/>
              </w:rPr>
              <w:t>ПОСТАНОВЛЕНИЕ</w:t>
            </w:r>
          </w:p>
        </w:tc>
      </w:tr>
    </w:tbl>
    <w:p>
      <w:pPr>
        <w:pStyle w:val="Style16"/>
        <w:jc w:val="both"/>
        <w:rPr>
          <w:rFonts w:cs="Times New Roman" w:ascii="Times New Roman" w:hAnsi="Times New Roman"/>
          <w:sz w:val="24"/>
          <w:szCs w:val="24"/>
        </w:rPr>
      </w:pPr>
      <w:r>
        <w:rPr>
          <w:rFonts w:cs="Times New Roman" w:ascii="Times New Roman" w:hAnsi="Times New Roman"/>
          <w:sz w:val="24"/>
          <w:szCs w:val="24"/>
        </w:rPr>
      </w:r>
    </w:p>
    <w:p>
      <w:pPr>
        <w:pStyle w:val="Style16"/>
        <w:jc w:val="both"/>
        <w:rPr>
          <w:rFonts w:cs="Times New Roman" w:ascii="Times New Roman" w:hAnsi="Times New Roman"/>
          <w:sz w:val="24"/>
          <w:szCs w:val="24"/>
        </w:rPr>
      </w:pPr>
      <w:r>
        <w:rPr>
          <w:rFonts w:cs="Times New Roman" w:ascii="Times New Roman" w:hAnsi="Times New Roman"/>
          <w:sz w:val="24"/>
          <w:szCs w:val="24"/>
        </w:rPr>
      </w:r>
    </w:p>
    <w:p>
      <w:pPr>
        <w:pStyle w:val="Style16"/>
        <w:jc w:val="both"/>
        <w:rPr>
          <w:rFonts w:cs="Times New Roman" w:ascii="Times New Roman" w:hAnsi="Times New Roman"/>
          <w:sz w:val="24"/>
          <w:szCs w:val="24"/>
        </w:rPr>
      </w:pPr>
      <w:r>
        <w:rPr>
          <w:rFonts w:cs="Times New Roman" w:ascii="Times New Roman" w:hAnsi="Times New Roman"/>
          <w:sz w:val="24"/>
          <w:szCs w:val="24"/>
        </w:rPr>
      </w:r>
    </w:p>
    <w:p>
      <w:pPr>
        <w:pStyle w:val="Style16"/>
        <w:jc w:val="both"/>
        <w:rPr>
          <w:rFonts w:cs="Times New Roman" w:ascii="Times New Roman" w:hAnsi="Times New Roman"/>
          <w:sz w:val="24"/>
          <w:szCs w:val="24"/>
        </w:rPr>
      </w:pPr>
      <w:r>
        <w:rPr>
          <w:rFonts w:cs="Times New Roman" w:ascii="Times New Roman" w:hAnsi="Times New Roman"/>
          <w:sz w:val="24"/>
          <w:szCs w:val="24"/>
        </w:rPr>
        <w:t>14 июня 2017 года                                                                                                                        № 414</w:t>
      </w:r>
    </w:p>
    <w:p>
      <w:pPr>
        <w:pStyle w:val="Style16"/>
        <w:jc w:val="both"/>
        <w:rPr>
          <w:rFonts w:cs="Times New Roman" w:ascii="Times New Roman" w:hAnsi="Times New Roman"/>
          <w:sz w:val="24"/>
          <w:szCs w:val="24"/>
        </w:rPr>
      </w:pPr>
      <w:r>
        <w:rPr>
          <w:rFonts w:cs="Times New Roman" w:ascii="Times New Roman" w:hAnsi="Times New Roman"/>
          <w:sz w:val="24"/>
          <w:szCs w:val="24"/>
        </w:rPr>
        <w:t>г. Кемь</w:t>
      </w:r>
    </w:p>
    <w:p>
      <w:pPr>
        <w:pStyle w:val="Style16"/>
        <w:jc w:val="both"/>
        <w:rPr>
          <w:rFonts w:cs="Times New Roman" w:ascii="Times New Roman" w:hAnsi="Times New Roman"/>
          <w:sz w:val="24"/>
          <w:szCs w:val="24"/>
        </w:rPr>
      </w:pPr>
      <w:r>
        <w:rPr>
          <w:rFonts w:cs="Times New Roman" w:ascii="Times New Roman" w:hAnsi="Times New Roman"/>
          <w:sz w:val="24"/>
          <w:szCs w:val="24"/>
        </w:rPr>
      </w:r>
    </w:p>
    <w:tbl>
      <w:tblPr>
        <w:jc w:val="left"/>
        <w:tblInd w:w="0" w:type="dxa"/>
        <w:tblBorders>
          <w:top w:val="nil"/>
          <w:left w:val="nil"/>
          <w:bottom w:val="nil"/>
          <w:insideH w:val="nil"/>
          <w:right w:val="nil"/>
          <w:insideV w:val="nil"/>
        </w:tblBorders>
        <w:tblCellMar>
          <w:top w:w="0" w:type="dxa"/>
          <w:left w:w="108" w:type="dxa"/>
          <w:bottom w:w="0" w:type="dxa"/>
          <w:right w:w="108" w:type="dxa"/>
        </w:tblCellMar>
      </w:tblPr>
      <w:tblGrid>
        <w:gridCol w:w="5353"/>
      </w:tblGrid>
      <w:tr>
        <w:trPr>
          <w:cantSplit w:val="false"/>
        </w:trPr>
        <w:tc>
          <w:tcPr>
            <w:tcW w:w="5353" w:type="dxa"/>
            <w:tcBorders>
              <w:top w:val="nil"/>
              <w:left w:val="nil"/>
              <w:bottom w:val="nil"/>
              <w:insideH w:val="nil"/>
              <w:right w:val="nil"/>
              <w:insideV w:val="nil"/>
            </w:tcBorders>
            <w:shd w:fill="auto" w:val="clear"/>
          </w:tcPr>
          <w:p>
            <w:pPr>
              <w:pStyle w:val="Style16"/>
              <w:jc w:val="both"/>
              <w:rPr>
                <w:rFonts w:cs="Times New Roman" w:ascii="Times New Roman" w:hAnsi="Times New Roman"/>
                <w:sz w:val="24"/>
                <w:szCs w:val="24"/>
              </w:rPr>
            </w:pPr>
            <w:r>
              <w:rPr>
                <w:rFonts w:cs="Times New Roman" w:ascii="Times New Roman" w:hAnsi="Times New Roman"/>
                <w:sz w:val="24"/>
                <w:szCs w:val="24"/>
              </w:rPr>
              <w:t>О торгах на право заключения договора аренды муниципального имущества</w:t>
            </w:r>
          </w:p>
        </w:tc>
      </w:tr>
    </w:tbl>
    <w:p>
      <w:pPr>
        <w:pStyle w:val="Style16"/>
        <w:jc w:val="both"/>
        <w:rPr>
          <w:rFonts w:cs="Times New Roman" w:ascii="Times New Roman" w:hAnsi="Times New Roman"/>
          <w:sz w:val="24"/>
          <w:szCs w:val="24"/>
        </w:rPr>
      </w:pPr>
      <w:r>
        <w:rPr>
          <w:rFonts w:cs="Times New Roman" w:ascii="Times New Roman" w:hAnsi="Times New Roman"/>
          <w:sz w:val="24"/>
          <w:szCs w:val="24"/>
        </w:rPr>
      </w:r>
    </w:p>
    <w:p>
      <w:pPr>
        <w:pStyle w:val="Style16"/>
        <w:ind w:left="0" w:right="0" w:firstLine="708"/>
        <w:jc w:val="both"/>
        <w:rPr>
          <w:rFonts w:cs="Times New Roman" w:ascii="Times New Roman" w:hAnsi="Times New Roman"/>
          <w:sz w:val="24"/>
          <w:szCs w:val="24"/>
        </w:rPr>
      </w:pPr>
      <w:r>
        <w:rPr>
          <w:rFonts w:cs="Times New Roman" w:ascii="Times New Roman" w:hAnsi="Times New Roman"/>
          <w:sz w:val="24"/>
          <w:szCs w:val="24"/>
        </w:rPr>
        <w:t xml:space="preserve">В соответствии с Федеральным законом от 26 июля 2006 года № 135-ФЗ «О защите конкуренции», Правилами </w:t>
      </w:r>
      <w:r>
        <w:rPr>
          <w:rFonts w:cs="Times New Roman" w:ascii="Times New Roman" w:hAnsi="Times New Roman"/>
          <w:color w:val="000000"/>
          <w:sz w:val="24"/>
          <w:szCs w:val="24"/>
        </w:rPr>
        <w:t>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утверждёнными</w:t>
      </w:r>
      <w:r>
        <w:rPr>
          <w:rFonts w:cs="Times New Roman" w:ascii="Times New Roman" w:hAnsi="Times New Roman"/>
          <w:sz w:val="24"/>
          <w:szCs w:val="24"/>
        </w:rPr>
        <w:t xml:space="preserve"> приказом Федеральной антимонопольной службы от 10 февраля 2010 года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pPr>
        <w:pStyle w:val="Style16"/>
        <w:jc w:val="both"/>
        <w:rPr>
          <w:rFonts w:cs="Times New Roman" w:ascii="Times New Roman" w:hAnsi="Times New Roman"/>
          <w:sz w:val="24"/>
          <w:szCs w:val="24"/>
        </w:rPr>
      </w:pPr>
      <w:r>
        <w:rPr>
          <w:rFonts w:cs="Times New Roman" w:ascii="Times New Roman" w:hAnsi="Times New Roman"/>
          <w:sz w:val="24"/>
          <w:szCs w:val="24"/>
        </w:rPr>
      </w:r>
    </w:p>
    <w:p>
      <w:pPr>
        <w:pStyle w:val="Style16"/>
        <w:jc w:val="both"/>
        <w:rPr>
          <w:rFonts w:cs="Times New Roman" w:ascii="Times New Roman" w:hAnsi="Times New Roman"/>
          <w:sz w:val="24"/>
          <w:szCs w:val="24"/>
        </w:rPr>
      </w:pPr>
      <w:r>
        <w:rPr>
          <w:rFonts w:cs="Times New Roman" w:ascii="Times New Roman" w:hAnsi="Times New Roman"/>
          <w:sz w:val="24"/>
          <w:szCs w:val="24"/>
        </w:rPr>
      </w:r>
    </w:p>
    <w:p>
      <w:pPr>
        <w:pStyle w:val="Style16"/>
        <w:jc w:val="center"/>
        <w:rPr>
          <w:rFonts w:cs="Times New Roman" w:ascii="Times New Roman" w:hAnsi="Times New Roman"/>
          <w:sz w:val="24"/>
          <w:szCs w:val="24"/>
        </w:rPr>
      </w:pPr>
      <w:r>
        <w:rPr>
          <w:rFonts w:cs="Times New Roman" w:ascii="Times New Roman" w:hAnsi="Times New Roman"/>
          <w:sz w:val="24"/>
          <w:szCs w:val="24"/>
        </w:rPr>
        <w:t>администрация Кемского муниципального района ПОСТАНОВЛЯЕТ:</w:t>
      </w:r>
    </w:p>
    <w:p>
      <w:pPr>
        <w:pStyle w:val="Style16"/>
        <w:ind w:left="0" w:right="0" w:firstLine="709"/>
        <w:jc w:val="both"/>
        <w:rPr>
          <w:rFonts w:cs="Times New Roman" w:ascii="Times New Roman" w:hAnsi="Times New Roman"/>
          <w:b/>
          <w:sz w:val="24"/>
          <w:szCs w:val="24"/>
        </w:rPr>
      </w:pPr>
      <w:r>
        <w:rPr>
          <w:rFonts w:cs="Times New Roman" w:ascii="Times New Roman" w:hAnsi="Times New Roman"/>
          <w:b/>
          <w:sz w:val="24"/>
          <w:szCs w:val="24"/>
        </w:rPr>
      </w:r>
    </w:p>
    <w:p>
      <w:pPr>
        <w:pStyle w:val="Style16"/>
        <w:ind w:left="0" w:right="0" w:firstLine="709"/>
        <w:jc w:val="both"/>
        <w:rPr>
          <w:rFonts w:cs="Times New Roman" w:ascii="Times New Roman" w:hAnsi="Times New Roman"/>
          <w:b/>
          <w:sz w:val="24"/>
          <w:szCs w:val="24"/>
        </w:rPr>
      </w:pPr>
      <w:r>
        <w:rPr>
          <w:rFonts w:cs="Times New Roman" w:ascii="Times New Roman" w:hAnsi="Times New Roman"/>
          <w:b/>
          <w:sz w:val="24"/>
          <w:szCs w:val="24"/>
        </w:rPr>
      </w:r>
    </w:p>
    <w:p>
      <w:pPr>
        <w:pStyle w:val="Style16"/>
        <w:ind w:left="0" w:right="0" w:firstLine="709"/>
        <w:jc w:val="both"/>
        <w:rPr>
          <w:rFonts w:cs="Times New Roman" w:ascii="Times New Roman" w:hAnsi="Times New Roman"/>
          <w:sz w:val="24"/>
          <w:szCs w:val="24"/>
        </w:rPr>
      </w:pPr>
      <w:r>
        <w:rPr>
          <w:rFonts w:cs="Times New Roman" w:ascii="Times New Roman" w:hAnsi="Times New Roman"/>
          <w:sz w:val="24"/>
          <w:szCs w:val="24"/>
        </w:rPr>
        <w:t>1.Провести торги в форме аукциона, открытого по составу участников и форме подачи предложений, на право заключения договора аренды муниципального имущества:</w:t>
      </w:r>
    </w:p>
    <w:p>
      <w:pPr>
        <w:pStyle w:val="Style16"/>
        <w:ind w:left="0" w:right="0" w:firstLine="709"/>
        <w:jc w:val="both"/>
        <w:rPr>
          <w:rFonts w:cs="Times New Roman" w:ascii="Times New Roman" w:hAnsi="Times New Roman"/>
          <w:sz w:val="24"/>
          <w:szCs w:val="24"/>
        </w:rPr>
      </w:pPr>
      <w:r>
        <w:rPr>
          <w:rFonts w:cs="Times New Roman" w:ascii="Times New Roman" w:hAnsi="Times New Roman"/>
          <w:sz w:val="24"/>
          <w:szCs w:val="24"/>
        </w:rPr>
        <w:t xml:space="preserve">нежилое помещение общей площадью 123,93 кв. м (в т. ч. помещения, номера на поэтажном плане 13, 16, 22, </w:t>
      </w:r>
      <w:r>
        <w:rPr/>
        <w:t xml:space="preserve"> </w:t>
      </w:r>
      <w:r>
        <w:rPr>
          <w:rFonts w:cs="Times New Roman" w:ascii="Times New Roman" w:hAnsi="Times New Roman"/>
          <w:sz w:val="24"/>
          <w:szCs w:val="24"/>
        </w:rPr>
        <w:t>общей площадью 68,0 кв. м; места общего пользования, номера на поэтажном плане 1, 3, 4, 5, 7, 8, 9, 10, 12, 14, 15, 17, 20,  общей площадью 55,93 кв. м), расположенное на подвальном этаже, по адресу: Республика Карелия, Кемский район, г. Кемь, ул. Ленина, д.3, пом. 104.</w:t>
      </w:r>
    </w:p>
    <w:p>
      <w:pPr>
        <w:pStyle w:val="Style16"/>
        <w:ind w:left="0" w:right="0" w:firstLine="709"/>
        <w:jc w:val="both"/>
        <w:rPr>
          <w:rFonts w:cs="Times New Roman" w:ascii="Times New Roman" w:hAnsi="Times New Roman"/>
          <w:sz w:val="24"/>
          <w:szCs w:val="24"/>
        </w:rPr>
      </w:pPr>
      <w:r>
        <w:rPr>
          <w:rFonts w:cs="Times New Roman" w:ascii="Times New Roman" w:hAnsi="Times New Roman"/>
          <w:sz w:val="24"/>
          <w:szCs w:val="24"/>
        </w:rPr>
        <w:t>2.Утвердить прилагаемую документацию об аукционе на право заключения договора аренды муниципального имущества, указанного в пункте 1 настоящего постановления.</w:t>
      </w:r>
    </w:p>
    <w:p>
      <w:pPr>
        <w:pStyle w:val="Style16"/>
        <w:jc w:val="both"/>
        <w:rPr>
          <w:rFonts w:cs="Times New Roman" w:ascii="Times New Roman" w:hAnsi="Times New Roman"/>
          <w:sz w:val="24"/>
          <w:szCs w:val="24"/>
        </w:rPr>
      </w:pPr>
      <w:r>
        <w:rPr>
          <w:rFonts w:cs="Times New Roman" w:ascii="Times New Roman" w:hAnsi="Times New Roman"/>
          <w:sz w:val="24"/>
          <w:szCs w:val="24"/>
        </w:rPr>
        <w:tab/>
        <w:t>3.Разместить прилагаемую документацию об аукционе на официальном сайте Российской Федерации</w:t>
      </w:r>
      <w:r>
        <w:rPr/>
        <w:t xml:space="preserve"> </w:t>
      </w:r>
      <w:r>
        <w:rPr>
          <w:rFonts w:cs="Times New Roman" w:ascii="Times New Roman" w:hAnsi="Times New Roman"/>
          <w:sz w:val="24"/>
          <w:szCs w:val="24"/>
        </w:rPr>
        <w:t>www.torgi.gov.ru в сети "Интернет".</w:t>
      </w:r>
    </w:p>
    <w:p>
      <w:pPr>
        <w:pStyle w:val="Style16"/>
        <w:jc w:val="both"/>
        <w:rPr>
          <w:rFonts w:cs="Times New Roman" w:ascii="Times New Roman" w:hAnsi="Times New Roman"/>
          <w:sz w:val="24"/>
          <w:szCs w:val="24"/>
        </w:rPr>
      </w:pPr>
      <w:r>
        <w:rPr>
          <w:rFonts w:cs="Times New Roman" w:ascii="Times New Roman" w:hAnsi="Times New Roman"/>
          <w:sz w:val="24"/>
          <w:szCs w:val="24"/>
        </w:rPr>
      </w:r>
    </w:p>
    <w:p>
      <w:pPr>
        <w:pStyle w:val="Style16"/>
        <w:jc w:val="both"/>
        <w:rPr>
          <w:rFonts w:cs="Times New Roman" w:ascii="Times New Roman" w:hAnsi="Times New Roman"/>
          <w:sz w:val="24"/>
          <w:szCs w:val="24"/>
        </w:rPr>
      </w:pPr>
      <w:r>
        <w:rPr>
          <w:rFonts w:cs="Times New Roman" w:ascii="Times New Roman" w:hAnsi="Times New Roman"/>
          <w:sz w:val="24"/>
          <w:szCs w:val="24"/>
        </w:rPr>
      </w:r>
    </w:p>
    <w:p>
      <w:pPr>
        <w:pStyle w:val="Style16"/>
        <w:jc w:val="both"/>
        <w:rPr>
          <w:rFonts w:cs="Times New Roman" w:ascii="Times New Roman" w:hAnsi="Times New Roman"/>
          <w:sz w:val="24"/>
          <w:szCs w:val="24"/>
        </w:rPr>
      </w:pPr>
      <w:r>
        <w:rPr>
          <w:rFonts w:cs="Times New Roman" w:ascii="Times New Roman" w:hAnsi="Times New Roman"/>
          <w:sz w:val="24"/>
          <w:szCs w:val="24"/>
        </w:rPr>
      </w:r>
    </w:p>
    <w:p>
      <w:pPr>
        <w:pStyle w:val="Style16"/>
        <w:jc w:val="both"/>
        <w:rPr>
          <w:rFonts w:cs="Times New Roman" w:ascii="Times New Roman" w:hAnsi="Times New Roman"/>
          <w:sz w:val="24"/>
          <w:szCs w:val="24"/>
        </w:rPr>
      </w:pPr>
      <w:r>
        <w:rPr>
          <w:rFonts w:cs="Times New Roman" w:ascii="Times New Roman" w:hAnsi="Times New Roman"/>
          <w:sz w:val="24"/>
          <w:szCs w:val="24"/>
        </w:rPr>
        <w:t xml:space="preserve">Глава администрации  </w:t>
      </w:r>
    </w:p>
    <w:p>
      <w:pPr>
        <w:pStyle w:val="Style16"/>
        <w:jc w:val="both"/>
        <w:rPr>
          <w:rFonts w:cs="Times New Roman" w:ascii="Times New Roman" w:hAnsi="Times New Roman"/>
          <w:sz w:val="24"/>
          <w:szCs w:val="24"/>
        </w:rPr>
      </w:pPr>
      <w:r>
        <w:rPr>
          <w:rFonts w:cs="Times New Roman" w:ascii="Times New Roman" w:hAnsi="Times New Roman"/>
          <w:sz w:val="24"/>
          <w:szCs w:val="24"/>
        </w:rPr>
        <w:t>Кемского муниципального района</w:t>
        <w:tab/>
        <w:tab/>
        <w:tab/>
        <w:tab/>
        <w:tab/>
        <w:tab/>
        <w:t xml:space="preserve">                      Ю.К.Разумейчик</w:t>
        <w:tab/>
        <w:tab/>
        <w:t xml:space="preserve">      </w:t>
      </w:r>
    </w:p>
    <w:p>
      <w:pPr>
        <w:pStyle w:val="Style16"/>
        <w:jc w:val="both"/>
        <w:rPr>
          <w:rFonts w:cs="Times New Roman" w:ascii="Times New Roman" w:hAnsi="Times New Roman"/>
          <w:sz w:val="24"/>
          <w:szCs w:val="24"/>
        </w:rPr>
      </w:pPr>
      <w:r>
        <w:rPr>
          <w:rFonts w:cs="Times New Roman" w:ascii="Times New Roman" w:hAnsi="Times New Roman"/>
          <w:sz w:val="24"/>
          <w:szCs w:val="24"/>
        </w:rPr>
      </w:r>
    </w:p>
    <w:sectPr>
      <w:type w:val="nextPage"/>
      <w:pgSz w:w="11906" w:h="16838"/>
      <w:pgMar w:left="1134" w:right="567" w:header="0" w:top="709" w:footer="0" w:bottom="851"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cc"/>
    <w:family w:val="swiss"/>
    <w:pitch w:val="variable"/>
  </w:font>
  <w:font w:name="Times New Roman">
    <w:charset w:val="cc"/>
    <w:family w:val="roman"/>
    <w:pitch w:val="variable"/>
  </w:font>
  <w:font w:name="Tahoma">
    <w:charset w:val="cc"/>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bering>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w:docDefaults>
    <w:rPrDefault>
      <w:rPr>
        <w:rFonts w:ascii="Liberation Serif" w:hAnsi="Liberation Serif" w:eastAsia="DejaVu Sans" w:cs="DejaVu Sans"/>
        <w:sz w:val="24"/>
        <w:szCs w:val="24"/>
        <w:lang w:val="en-US" w:eastAsia="zh-CN" w:bidi="hi-IN"/>
      </w:rPr>
    </w:rPrDefault>
    <w:pPrDefault>
      <w:pPr/>
    </w:pPrDefault>
  </w:docDefaults>
  <w:style w:type="paragraph" w:styleId="Normal">
    <w:name w:val="Normal"/>
    <w:pPr>
      <w:widowControl/>
      <w:suppressAutoHyphens w:val="true"/>
      <w:bidi w:val="0"/>
      <w:spacing w:lineRule="auto" w:line="276" w:before="0" w:after="200"/>
    </w:pPr>
    <w:rPr>
      <w:rFonts w:ascii="Calibri" w:hAnsi="Calibri" w:eastAsia="Times New Roman" w:cs="Times New Roman"/>
      <w:color w:val="auto"/>
      <w:sz w:val="22"/>
      <w:szCs w:val="22"/>
      <w:lang w:val="ru-RU" w:bidi="ar-SA" w:eastAsia="zh-CN"/>
    </w:rPr>
  </w:style>
  <w:style w:type="paragraph" w:styleId="Heading2">
    <w:name w:val="Heading 2"/>
    <w:basedOn w:val="Normal"/>
    <w:next w:val="Normal"/>
    <w:pPr>
      <w:keepNext/>
      <w:numPr>
        <w:ilvl w:val="1"/>
        <w:numId w:val="1"/>
      </w:numPr>
      <w:spacing w:lineRule="auto" w:line="240" w:before="0" w:after="0"/>
      <w:jc w:val="center"/>
      <w:outlineLvl w:val="1"/>
      <w:outlineLvl w:val="1"/>
    </w:pPr>
    <w:rPr>
      <w:rFonts w:ascii="Times New Roman" w:hAnsi="Times New Roman" w:eastAsia="Times New Roman" w:cs="Times New Roman"/>
      <w:b/>
      <w:sz w:val="32"/>
      <w:szCs w:val="20"/>
    </w:rPr>
  </w:style>
  <w:style w:type="character" w:styleId="Style13">
    <w:name w:val="Основной шрифт абзаца"/>
    <w:rPr/>
  </w:style>
  <w:style w:type="character" w:styleId="2">
    <w:name w:val="Заголовок 2 Знак"/>
    <w:rPr>
      <w:rFonts w:ascii="Times New Roman" w:hAnsi="Times New Roman" w:eastAsia="Times New Roman" w:cs="Times New Roman"/>
      <w:b/>
      <w:sz w:val="32"/>
      <w:szCs w:val="20"/>
    </w:rPr>
  </w:style>
  <w:style w:type="character" w:styleId="Style14">
    <w:name w:val="Текст выноски Знак"/>
    <w:rPr>
      <w:rFonts w:ascii="Tahoma" w:hAnsi="Tahoma" w:cs="Tahoma"/>
      <w:sz w:val="16"/>
      <w:szCs w:val="16"/>
    </w:rPr>
  </w:style>
  <w:style w:type="character" w:styleId="Style15">
    <w:name w:val="Название Знак"/>
    <w:rPr>
      <w:rFonts w:ascii="Times New Roman" w:hAnsi="Times New Roman" w:cs="Times New Roman"/>
      <w:b/>
      <w:sz w:val="28"/>
      <w:szCs w:val="24"/>
    </w:rPr>
  </w:style>
  <w:style w:type="character" w:styleId="InternetLink">
    <w:name w:val="Internet Link"/>
    <w:rPr>
      <w:color w:val="0000FF"/>
      <w:u w:val="single"/>
    </w:rPr>
  </w:style>
  <w:style w:type="paragraph" w:styleId="Heading">
    <w:name w:val="Heading"/>
    <w:basedOn w:val="Normal"/>
    <w:next w:val="TextBody"/>
    <w:pPr>
      <w:spacing w:lineRule="auto" w:line="240" w:before="0" w:after="0"/>
      <w:jc w:val="center"/>
    </w:pPr>
    <w:rPr>
      <w:rFonts w:ascii="Times New Roman" w:hAnsi="Times New Roman" w:cs="Times New Roman"/>
      <w:b/>
      <w:sz w:val="28"/>
      <w:szCs w:val="24"/>
    </w:rPr>
  </w:style>
  <w:style w:type="paragraph" w:styleId="TextBody">
    <w:name w:val="Text Body"/>
    <w:basedOn w:val="Normal"/>
    <w:pPr>
      <w:spacing w:lineRule="auto" w:line="288" w:before="0" w:after="140"/>
    </w:pPr>
    <w:rPr/>
  </w:style>
  <w:style w:type="paragraph" w:styleId="List">
    <w:name w:val="List"/>
    <w:basedOn w:val="TextBody"/>
    <w:pPr/>
    <w:rPr/>
  </w:style>
  <w:style w:type="paragraph" w:styleId="Caption">
    <w:name w:val="Caption"/>
    <w:basedOn w:val="Normal"/>
    <w:pPr>
      <w:suppressLineNumbers/>
      <w:spacing w:before="120" w:after="120"/>
    </w:pPr>
    <w:rPr>
      <w:i/>
      <w:iCs/>
      <w:sz w:val="24"/>
      <w:szCs w:val="24"/>
    </w:rPr>
  </w:style>
  <w:style w:type="paragraph" w:styleId="Index">
    <w:name w:val="Index"/>
    <w:basedOn w:val="Normal"/>
    <w:pPr>
      <w:suppressLineNumbers/>
    </w:pPr>
    <w:rPr/>
  </w:style>
  <w:style w:type="paragraph" w:styleId="Style16">
    <w:name w:val="Без интервала"/>
    <w:pPr>
      <w:widowControl/>
      <w:suppressAutoHyphens w:val="true"/>
    </w:pPr>
    <w:rPr>
      <w:rFonts w:ascii="Calibri" w:hAnsi="Calibri" w:eastAsia="Times New Roman" w:cs="Times New Roman"/>
      <w:color w:val="auto"/>
      <w:sz w:val="22"/>
      <w:szCs w:val="22"/>
      <w:lang w:val="ru-RU" w:bidi="ar-SA" w:eastAsia="zh-CN"/>
    </w:rPr>
  </w:style>
  <w:style w:type="paragraph" w:styleId="Style17">
    <w:name w:val="Текст выноски"/>
    <w:basedOn w:val="Normal"/>
    <w:pPr>
      <w:spacing w:lineRule="auto" w:line="240" w:before="0" w:after="0"/>
    </w:pPr>
    <w:rPr>
      <w:rFonts w:ascii="Tahoma" w:hAnsi="Tahoma" w:cs="Tahoma"/>
      <w:sz w:val="16"/>
      <w:szCs w:val="16"/>
    </w:rPr>
  </w:style>
  <w:style w:type="paragraph" w:styleId="TableContents">
    <w:name w:val="Table Contents"/>
    <w:basedOn w:val="Normal"/>
    <w:pPr>
      <w:suppressLineNumbers/>
    </w:pPr>
    <w:rPr/>
  </w:style>
  <w:style w:type="paragraph" w:styleId="TableHeading">
    <w:name w:val="Table Heading"/>
    <w:basedOn w:val="TableContents"/>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3.wmf"/><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48000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2009-06-04T08:40:00Z</dcterms:created>
  <dc:creator>Admin</dc:creator>
  <dc:language>en-US</dc:language>
  <cp:lastModifiedBy>User27</cp:lastModifiedBy>
  <cp:lastPrinted>2017-06-13T16:39:00Z</cp:lastPrinted>
  <dcterms:modified xsi:type="dcterms:W3CDTF">2017-06-14T11:21:00Z</dcterms:modified>
  <cp:revision>210</cp:revision>
</cp:coreProperties>
</file>